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D2AE" w14:textId="77777777" w:rsidR="00AE74BC" w:rsidRDefault="00AE74BC" w:rsidP="00294C15">
      <w:pPr>
        <w:spacing w:line="276" w:lineRule="auto"/>
        <w:jc w:val="center"/>
        <w:rPr>
          <w:rFonts w:ascii="Arial" w:hAnsi="Arial" w:cs="Arial"/>
          <w:sz w:val="24"/>
        </w:rPr>
      </w:pPr>
    </w:p>
    <w:p w14:paraId="192B3D92" w14:textId="77777777"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CORTAZAR, GTO.</w:t>
      </w:r>
    </w:p>
    <w:p w14:paraId="2AE5D425" w14:textId="77777777" w:rsidR="000E16D5"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14:paraId="4E085B91" w14:textId="7AAEDD8A" w:rsidR="005C0434" w:rsidRDefault="005C0434" w:rsidP="00294C15">
      <w:pPr>
        <w:spacing w:line="276" w:lineRule="auto"/>
        <w:jc w:val="center"/>
        <w:rPr>
          <w:rFonts w:ascii="Arial" w:hAnsi="Arial" w:cs="Arial"/>
          <w:b/>
          <w:sz w:val="24"/>
        </w:rPr>
      </w:pPr>
      <w:r>
        <w:rPr>
          <w:rFonts w:ascii="Arial" w:hAnsi="Arial" w:cs="Arial"/>
          <w:b/>
          <w:sz w:val="24"/>
        </w:rPr>
        <w:t>AL 3</w:t>
      </w:r>
      <w:r w:rsidR="009561BC">
        <w:rPr>
          <w:rFonts w:ascii="Arial" w:hAnsi="Arial" w:cs="Arial"/>
          <w:b/>
          <w:sz w:val="24"/>
        </w:rPr>
        <w:t>1</w:t>
      </w:r>
      <w:r>
        <w:rPr>
          <w:rFonts w:ascii="Arial" w:hAnsi="Arial" w:cs="Arial"/>
          <w:b/>
          <w:sz w:val="24"/>
        </w:rPr>
        <w:t xml:space="preserve"> DE </w:t>
      </w:r>
      <w:r w:rsidR="009561BC">
        <w:rPr>
          <w:rFonts w:ascii="Arial" w:hAnsi="Arial" w:cs="Arial"/>
          <w:b/>
          <w:sz w:val="24"/>
        </w:rPr>
        <w:t>DICIEMBRE</w:t>
      </w:r>
      <w:r>
        <w:rPr>
          <w:rFonts w:ascii="Arial" w:hAnsi="Arial" w:cs="Arial"/>
          <w:b/>
          <w:sz w:val="24"/>
        </w:rPr>
        <w:t xml:space="preserve"> DEL 2024</w:t>
      </w:r>
    </w:p>
    <w:p w14:paraId="31ADB87F" w14:textId="77777777" w:rsidR="005C0434" w:rsidRPr="00685118" w:rsidRDefault="005C0434" w:rsidP="00294C15">
      <w:pPr>
        <w:spacing w:line="276" w:lineRule="auto"/>
        <w:jc w:val="center"/>
        <w:rPr>
          <w:rFonts w:ascii="Arial" w:hAnsi="Arial" w:cs="Arial"/>
          <w:b/>
          <w:sz w:val="24"/>
        </w:rPr>
      </w:pPr>
    </w:p>
    <w:p w14:paraId="708BAC69" w14:textId="77777777" w:rsidR="001D6D2B" w:rsidRPr="00294C15" w:rsidRDefault="001D6D2B" w:rsidP="00294C15">
      <w:pPr>
        <w:spacing w:line="276" w:lineRule="auto"/>
        <w:jc w:val="both"/>
        <w:rPr>
          <w:rFonts w:ascii="Arial" w:hAnsi="Arial" w:cs="Arial"/>
        </w:rPr>
      </w:pPr>
    </w:p>
    <w:p w14:paraId="396234E7" w14:textId="77777777" w:rsidR="000E16D5" w:rsidRPr="00E347C4" w:rsidRDefault="000E16D5" w:rsidP="00294C15">
      <w:pPr>
        <w:spacing w:line="276" w:lineRule="auto"/>
        <w:jc w:val="both"/>
        <w:rPr>
          <w:rFonts w:ascii="Arial" w:hAnsi="Arial" w:cs="Arial"/>
        </w:rPr>
      </w:pPr>
      <w:r w:rsidRPr="00CB1BC6">
        <w:rPr>
          <w:rFonts w:ascii="Arial" w:hAnsi="Arial" w:cs="Arial"/>
          <w:b/>
        </w:rPr>
        <w:t>Introducción:</w:t>
      </w:r>
      <w:r w:rsidRPr="00E347C4">
        <w:rPr>
          <w:rFonts w:ascii="Arial" w:hAnsi="Arial" w:cs="Arial"/>
        </w:rPr>
        <w:t xml:space="preserve"> </w:t>
      </w:r>
    </w:p>
    <w:p w14:paraId="07944608" w14:textId="77777777"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en la act</w:t>
      </w:r>
      <w:r w:rsidR="00FC20A7">
        <w:rPr>
          <w:rFonts w:ascii="Arial" w:hAnsi="Arial" w:cs="Arial"/>
        </w:rPr>
        <w:t>ualidad con un sistema contable</w:t>
      </w:r>
      <w:r w:rsidR="000E16D5" w:rsidRPr="00E347C4">
        <w:rPr>
          <w:rFonts w:ascii="Arial" w:hAnsi="Arial" w:cs="Arial"/>
        </w:rPr>
        <w:t xml:space="preserve"> que opera de acuerdo a </w:t>
      </w:r>
      <w:r w:rsidR="00294C15" w:rsidRPr="00E347C4">
        <w:rPr>
          <w:rFonts w:ascii="Arial" w:hAnsi="Arial" w:cs="Arial"/>
        </w:rPr>
        <w:t>la normatividad</w:t>
      </w:r>
      <w:r w:rsidR="000E16D5" w:rsidRPr="00E347C4">
        <w:rPr>
          <w:rFonts w:ascii="Arial" w:hAnsi="Arial" w:cs="Arial"/>
        </w:rPr>
        <w:t xml:space="preserve"> vigente, el cual se ha venido</w:t>
      </w:r>
      <w:r w:rsidR="00FC20A7">
        <w:rPr>
          <w:rFonts w:ascii="Arial" w:hAnsi="Arial" w:cs="Arial"/>
        </w:rPr>
        <w:t xml:space="preserve"> actualizando y</w:t>
      </w:r>
      <w:r w:rsidR="000E16D5" w:rsidRPr="00E347C4">
        <w:rPr>
          <w:rFonts w:ascii="Arial" w:hAnsi="Arial" w:cs="Arial"/>
        </w:rPr>
        <w:t xml:space="preserve">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14:paraId="5E4F58A7" w14:textId="77777777"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14:paraId="2508DDE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14:paraId="6035BB96" w14:textId="77777777" w:rsidR="002B7079" w:rsidRPr="002B7079" w:rsidRDefault="002B7079" w:rsidP="00294C15">
      <w:pPr>
        <w:spacing w:line="276" w:lineRule="auto"/>
        <w:jc w:val="both"/>
        <w:rPr>
          <w:rFonts w:ascii="Arial" w:hAnsi="Arial" w:cs="Arial"/>
          <w:b/>
        </w:rPr>
      </w:pPr>
      <w:r w:rsidRPr="002B7079">
        <w:rPr>
          <w:rFonts w:ascii="Arial" w:hAnsi="Arial" w:cs="Arial"/>
          <w:b/>
        </w:rPr>
        <w:t>1. Autorización e Historia</w:t>
      </w:r>
    </w:p>
    <w:p w14:paraId="086A4D1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14:paraId="711B94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14:paraId="4A25F16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14:paraId="2CAAAEB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14:paraId="2AFCB7EF" w14:textId="77777777" w:rsidR="002B7079" w:rsidRPr="002B7079" w:rsidRDefault="002B7079" w:rsidP="002B7079">
      <w:pPr>
        <w:spacing w:line="276" w:lineRule="auto"/>
        <w:jc w:val="both"/>
        <w:rPr>
          <w:rFonts w:ascii="Arial" w:hAnsi="Arial" w:cs="Arial"/>
          <w:b/>
        </w:rPr>
      </w:pPr>
      <w:r w:rsidRPr="002B7079">
        <w:rPr>
          <w:rFonts w:ascii="Arial" w:hAnsi="Arial" w:cs="Arial"/>
          <w:b/>
        </w:rPr>
        <w:t>2. P</w:t>
      </w:r>
      <w:r>
        <w:rPr>
          <w:rFonts w:ascii="Arial" w:hAnsi="Arial" w:cs="Arial"/>
          <w:b/>
        </w:rPr>
        <w:t>anorama Económico y Financiero</w:t>
      </w:r>
      <w:r w:rsidRPr="002B7079">
        <w:rPr>
          <w:rFonts w:ascii="Arial" w:hAnsi="Arial" w:cs="Arial"/>
          <w:b/>
        </w:rPr>
        <w:t xml:space="preserve"> </w:t>
      </w:r>
    </w:p>
    <w:p w14:paraId="3C291A6D" w14:textId="77777777" w:rsidR="002B7079" w:rsidRDefault="002B7079" w:rsidP="002B7079">
      <w:pPr>
        <w:spacing w:line="276" w:lineRule="auto"/>
        <w:jc w:val="both"/>
        <w:rPr>
          <w:rFonts w:ascii="Arial" w:hAnsi="Arial" w:cs="Arial"/>
        </w:rPr>
      </w:pPr>
      <w:r>
        <w:rPr>
          <w:rFonts w:ascii="Arial" w:hAnsi="Arial" w:cs="Arial"/>
        </w:rPr>
        <w:t>El municipio continúa</w:t>
      </w:r>
      <w:r w:rsidRPr="00E347C4">
        <w:rPr>
          <w:rFonts w:ascii="Arial" w:hAnsi="Arial" w:cs="Arial"/>
        </w:rPr>
        <w:t xml:space="preserve"> </w:t>
      </w:r>
      <w:r>
        <w:rPr>
          <w:rFonts w:ascii="Arial" w:hAnsi="Arial" w:cs="Arial"/>
        </w:rPr>
        <w:t>con el</w:t>
      </w:r>
      <w:r w:rsidRPr="00E347C4">
        <w:rPr>
          <w:rFonts w:ascii="Arial" w:hAnsi="Arial" w:cs="Arial"/>
        </w:rPr>
        <w:t xml:space="preserve"> proceso</w:t>
      </w:r>
      <w:r>
        <w:rPr>
          <w:rFonts w:ascii="Arial" w:hAnsi="Arial" w:cs="Arial"/>
        </w:rPr>
        <w:t xml:space="preserve"> de actualización a</w:t>
      </w:r>
      <w:r w:rsidRPr="00E347C4">
        <w:rPr>
          <w:rFonts w:ascii="Arial" w:hAnsi="Arial" w:cs="Arial"/>
        </w:rPr>
        <w:t xml:space="preserve"> su sistema contable, el cual va encaminado a cumplir con los requerimientos establecidos en la Ley de Contabilidad Gubernamental y los acuerdos del Consejo Naciona</w:t>
      </w:r>
      <w:r>
        <w:rPr>
          <w:rFonts w:ascii="Arial" w:hAnsi="Arial" w:cs="Arial"/>
        </w:rPr>
        <w:t>l de Armonización Contable. El M</w:t>
      </w:r>
      <w:r w:rsidRPr="00E347C4">
        <w:rPr>
          <w:rFonts w:ascii="Arial" w:hAnsi="Arial" w:cs="Arial"/>
        </w:rPr>
        <w:t>unicipio ini</w:t>
      </w:r>
      <w:r w:rsidR="00EC39A9">
        <w:rPr>
          <w:rFonts w:ascii="Arial" w:hAnsi="Arial" w:cs="Arial"/>
        </w:rPr>
        <w:t>cia el Ejercicio Fiscal del 2024</w:t>
      </w:r>
      <w:r w:rsidRPr="00E347C4">
        <w:rPr>
          <w:rFonts w:ascii="Arial" w:hAnsi="Arial" w:cs="Arial"/>
        </w:rPr>
        <w:t xml:space="preserve"> con un presupuesto </w:t>
      </w:r>
      <w:r>
        <w:rPr>
          <w:rFonts w:ascii="Arial" w:hAnsi="Arial" w:cs="Arial"/>
        </w:rPr>
        <w:t xml:space="preserve">en cantidad </w:t>
      </w:r>
      <w:r w:rsidR="00EC39A9">
        <w:rPr>
          <w:rFonts w:ascii="Arial" w:hAnsi="Arial" w:cs="Arial"/>
        </w:rPr>
        <w:t xml:space="preserve">de </w:t>
      </w:r>
      <w:r w:rsidR="00EC39A9" w:rsidRPr="00EC39A9">
        <w:rPr>
          <w:rFonts w:ascii="Arial" w:hAnsi="Arial" w:cs="Arial"/>
        </w:rPr>
        <w:t>$417,058,652.81</w:t>
      </w:r>
      <w:r w:rsidRPr="00EC39A9">
        <w:rPr>
          <w:rFonts w:ascii="Arial" w:hAnsi="Arial" w:cs="Arial"/>
        </w:rPr>
        <w:t>,</w:t>
      </w:r>
      <w:r w:rsidRPr="00E347C4">
        <w:rPr>
          <w:rFonts w:ascii="Arial" w:hAnsi="Arial" w:cs="Arial"/>
        </w:rPr>
        <w:t xml:space="preserve"> el cual </w:t>
      </w:r>
      <w:r>
        <w:rPr>
          <w:rFonts w:ascii="Arial" w:hAnsi="Arial" w:cs="Arial"/>
        </w:rPr>
        <w:t>incrementó</w:t>
      </w:r>
      <w:r w:rsidRPr="00E347C4">
        <w:rPr>
          <w:rFonts w:ascii="Arial" w:hAnsi="Arial" w:cs="Arial"/>
        </w:rPr>
        <w:t xml:space="preserve"> en comparación con el presupuesto del ejercicio fiscal anterior. </w:t>
      </w:r>
    </w:p>
    <w:p w14:paraId="0FE78FD5"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3. </w:t>
      </w:r>
      <w:r>
        <w:rPr>
          <w:rFonts w:ascii="Arial" w:hAnsi="Arial" w:cs="Arial"/>
          <w:b/>
        </w:rPr>
        <w:t>Organización y Objeto Social</w:t>
      </w:r>
    </w:p>
    <w:p w14:paraId="418595C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14:paraId="3CCEC982"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Administrar los recursos de la sociedad, proporcionar los servicios y cubrir las necesidades de la misma. </w:t>
      </w:r>
    </w:p>
    <w:p w14:paraId="6415432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Principal actividad. </w:t>
      </w:r>
    </w:p>
    <w:p w14:paraId="1EBD776C" w14:textId="77777777" w:rsidR="00CB1BC6" w:rsidRDefault="00CB1BC6" w:rsidP="00294C15">
      <w:pPr>
        <w:spacing w:line="276" w:lineRule="auto"/>
        <w:jc w:val="both"/>
        <w:rPr>
          <w:rFonts w:ascii="Arial" w:hAnsi="Arial" w:cs="Arial"/>
        </w:rPr>
      </w:pPr>
    </w:p>
    <w:p w14:paraId="659B3EA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Administración Gubernamental </w:t>
      </w:r>
    </w:p>
    <w:p w14:paraId="0FC067E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14:paraId="635E3EAA" w14:textId="77777777" w:rsidR="000E16D5" w:rsidRPr="00E347C4" w:rsidRDefault="00EC39A9" w:rsidP="00294C15">
      <w:pPr>
        <w:spacing w:line="276" w:lineRule="auto"/>
        <w:jc w:val="both"/>
        <w:rPr>
          <w:rFonts w:ascii="Arial" w:hAnsi="Arial" w:cs="Arial"/>
        </w:rPr>
      </w:pPr>
      <w:r>
        <w:rPr>
          <w:rFonts w:ascii="Arial" w:hAnsi="Arial" w:cs="Arial"/>
        </w:rPr>
        <w:t>Enero a diciembre 2024</w:t>
      </w:r>
      <w:r w:rsidR="00A003B5">
        <w:rPr>
          <w:rFonts w:ascii="Arial" w:hAnsi="Arial" w:cs="Arial"/>
        </w:rPr>
        <w:t>.</w:t>
      </w:r>
    </w:p>
    <w:p w14:paraId="3196D9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14:paraId="031DF4A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14:paraId="2F3F1D55" w14:textId="77777777"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14:paraId="235512F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11C614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14:paraId="770D7339" w14:textId="77777777" w:rsidR="000E16D5" w:rsidRDefault="00EC39A9" w:rsidP="00294C15">
      <w:pPr>
        <w:spacing w:line="276" w:lineRule="auto"/>
        <w:jc w:val="both"/>
        <w:rPr>
          <w:rFonts w:ascii="Arial" w:hAnsi="Arial" w:cs="Arial"/>
        </w:rPr>
      </w:pPr>
      <w:r w:rsidRPr="00EC39A9">
        <w:rPr>
          <w:rFonts w:ascii="Arial" w:hAnsi="Arial" w:cs="Arial"/>
          <w:noProof/>
          <w:lang w:eastAsia="es-MX"/>
        </w:rPr>
        <w:drawing>
          <wp:anchor distT="0" distB="0" distL="114300" distR="114300" simplePos="0" relativeHeight="251658240" behindDoc="0" locked="0" layoutInCell="1" allowOverlap="1" wp14:anchorId="0152B5C3" wp14:editId="5D13B1CF">
            <wp:simplePos x="0" y="0"/>
            <wp:positionH relativeFrom="margin">
              <wp:align>center</wp:align>
            </wp:positionH>
            <wp:positionV relativeFrom="paragraph">
              <wp:posOffset>349250</wp:posOffset>
            </wp:positionV>
            <wp:extent cx="5876925" cy="3516215"/>
            <wp:effectExtent l="0" t="0" r="0" b="8255"/>
            <wp:wrapSquare wrapText="bothSides"/>
            <wp:docPr id="2" name="Imagen 2" descr="D:\Users\Tesoreria\Downloads\organi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esoreria\Downloads\organigrama.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676" t="7548" r="10027" b="7001"/>
                    <a:stretch/>
                  </pic:blipFill>
                  <pic:spPr bwMode="auto">
                    <a:xfrm>
                      <a:off x="0" y="0"/>
                      <a:ext cx="5876925" cy="3516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6D5" w:rsidRPr="005C2F48">
        <w:rPr>
          <w:rFonts w:ascii="Arial" w:hAnsi="Arial" w:cs="Arial"/>
        </w:rPr>
        <w:t>f) Estructura organizacional básica.</w:t>
      </w:r>
      <w:r w:rsidR="000E16D5" w:rsidRPr="00E347C4">
        <w:rPr>
          <w:rFonts w:ascii="Arial" w:hAnsi="Arial" w:cs="Arial"/>
        </w:rPr>
        <w:t xml:space="preserve">      </w:t>
      </w:r>
    </w:p>
    <w:p w14:paraId="5A0A5428" w14:textId="77777777" w:rsidR="002B7079" w:rsidRPr="00E347C4" w:rsidRDefault="002B7079" w:rsidP="00294C15">
      <w:pPr>
        <w:spacing w:line="276" w:lineRule="auto"/>
        <w:jc w:val="both"/>
        <w:rPr>
          <w:rFonts w:ascii="Arial" w:hAnsi="Arial" w:cs="Arial"/>
        </w:rPr>
      </w:pPr>
    </w:p>
    <w:p w14:paraId="594B658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14:paraId="3C822A68" w14:textId="77777777"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14:paraId="68A1AD1F" w14:textId="77777777" w:rsidR="000E16D5" w:rsidRPr="002B7079" w:rsidRDefault="002B7079" w:rsidP="00294C15">
      <w:pPr>
        <w:spacing w:line="276" w:lineRule="auto"/>
        <w:jc w:val="both"/>
        <w:rPr>
          <w:rFonts w:ascii="Arial" w:hAnsi="Arial" w:cs="Arial"/>
          <w:b/>
        </w:rPr>
      </w:pPr>
      <w:r w:rsidRPr="002B7079">
        <w:rPr>
          <w:rFonts w:ascii="Arial" w:hAnsi="Arial" w:cs="Arial"/>
          <w:b/>
        </w:rPr>
        <w:lastRenderedPageBreak/>
        <w:t xml:space="preserve">4. </w:t>
      </w:r>
      <w:r w:rsidR="000E16D5" w:rsidRPr="002B7079">
        <w:rPr>
          <w:rFonts w:ascii="Arial" w:hAnsi="Arial" w:cs="Arial"/>
          <w:b/>
        </w:rPr>
        <w:t>Bases de Prepara</w:t>
      </w:r>
      <w:r>
        <w:rPr>
          <w:rFonts w:ascii="Arial" w:hAnsi="Arial" w:cs="Arial"/>
          <w:b/>
        </w:rPr>
        <w:t>ción de los Estados Financieros</w:t>
      </w:r>
      <w:r w:rsidR="000E16D5" w:rsidRPr="002B7079">
        <w:rPr>
          <w:rFonts w:ascii="Arial" w:hAnsi="Arial" w:cs="Arial"/>
          <w:b/>
        </w:rPr>
        <w:t xml:space="preserve"> </w:t>
      </w:r>
    </w:p>
    <w:p w14:paraId="1D7B7A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14:paraId="250B9447" w14:textId="77777777" w:rsidR="00CB1BC6" w:rsidRDefault="00CB1BC6" w:rsidP="00294C15">
      <w:pPr>
        <w:spacing w:line="276" w:lineRule="auto"/>
        <w:jc w:val="both"/>
        <w:rPr>
          <w:rFonts w:ascii="Arial" w:hAnsi="Arial" w:cs="Arial"/>
        </w:rPr>
      </w:pPr>
    </w:p>
    <w:p w14:paraId="48441F8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realizarán los estados financieros en el sistema de contabilidad adecuado a los lineamientos y requerimientos de armonización que marca la CONAC, así como las disposiciones legales aplicables. </w:t>
      </w:r>
    </w:p>
    <w:p w14:paraId="787AD05D" w14:textId="77777777"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14:paraId="1A987AD2" w14:textId="77777777" w:rsidR="000E16D5" w:rsidRPr="00E347C4" w:rsidRDefault="000E16D5" w:rsidP="00294C15">
      <w:pPr>
        <w:spacing w:line="276" w:lineRule="auto"/>
        <w:jc w:val="both"/>
        <w:rPr>
          <w:rFonts w:ascii="Arial" w:hAnsi="Arial" w:cs="Arial"/>
        </w:rPr>
      </w:pPr>
      <w:r w:rsidRPr="00E347C4">
        <w:rPr>
          <w:rFonts w:ascii="Arial" w:hAnsi="Arial" w:cs="Arial"/>
        </w:rPr>
        <w:t>El total de</w:t>
      </w:r>
      <w:r w:rsidR="00AA65D1">
        <w:rPr>
          <w:rFonts w:ascii="Arial" w:hAnsi="Arial" w:cs="Arial"/>
        </w:rPr>
        <w:t xml:space="preserve"> </w:t>
      </w:r>
      <w:r w:rsidRPr="00E347C4">
        <w:rPr>
          <w:rFonts w:ascii="Arial" w:hAnsi="Arial" w:cs="Arial"/>
        </w:rPr>
        <w:t>las operaciones están reconocidas</w:t>
      </w:r>
      <w:r w:rsidR="00AA65D1">
        <w:rPr>
          <w:rFonts w:ascii="Arial" w:hAnsi="Arial" w:cs="Arial"/>
        </w:rPr>
        <w:t>.</w:t>
      </w:r>
      <w:r w:rsidRPr="00E347C4">
        <w:rPr>
          <w:rFonts w:ascii="Arial" w:hAnsi="Arial" w:cs="Arial"/>
        </w:rPr>
        <w:t xml:space="preserve">  </w:t>
      </w:r>
    </w:p>
    <w:p w14:paraId="66AC87A7" w14:textId="77777777" w:rsidR="000E16D5" w:rsidRPr="00E347C4" w:rsidRDefault="000E16D5" w:rsidP="00294C15">
      <w:pPr>
        <w:spacing w:line="276" w:lineRule="auto"/>
        <w:jc w:val="both"/>
        <w:rPr>
          <w:rFonts w:ascii="Arial" w:hAnsi="Arial" w:cs="Arial"/>
        </w:rPr>
      </w:pPr>
      <w:r w:rsidRPr="00E347C4">
        <w:rPr>
          <w:rFonts w:ascii="Arial" w:hAnsi="Arial" w:cs="Arial"/>
        </w:rPr>
        <w:t>c) Postulados básicos</w:t>
      </w:r>
      <w:r w:rsidR="002B7079">
        <w:rPr>
          <w:rFonts w:ascii="Arial" w:hAnsi="Arial" w:cs="Arial"/>
        </w:rPr>
        <w:t xml:space="preserve"> de Contabilidad Gubernamental (PBCG)</w:t>
      </w:r>
      <w:r w:rsidRPr="00E347C4">
        <w:rPr>
          <w:rFonts w:ascii="Arial" w:hAnsi="Arial" w:cs="Arial"/>
        </w:rPr>
        <w:t xml:space="preserve">. </w:t>
      </w:r>
    </w:p>
    <w:p w14:paraId="03DD08C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14:paraId="51A79955" w14:textId="77777777"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14:paraId="25B22B32" w14:textId="77777777" w:rsidR="000E16D5" w:rsidRPr="00E347C4" w:rsidRDefault="000E16D5" w:rsidP="00294C15">
      <w:pPr>
        <w:spacing w:line="276" w:lineRule="auto"/>
        <w:jc w:val="both"/>
        <w:rPr>
          <w:rFonts w:ascii="Arial" w:hAnsi="Arial" w:cs="Arial"/>
        </w:rPr>
      </w:pPr>
      <w:r w:rsidRPr="00E347C4">
        <w:rPr>
          <w:rFonts w:ascii="Arial" w:hAnsi="Arial" w:cs="Arial"/>
        </w:rPr>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14:paraId="3F2FE46C" w14:textId="77777777" w:rsidR="000E16D5" w:rsidRPr="00E347C4" w:rsidRDefault="002B7079" w:rsidP="00294C15">
      <w:pPr>
        <w:spacing w:line="276" w:lineRule="auto"/>
        <w:jc w:val="both"/>
        <w:rPr>
          <w:rFonts w:ascii="Arial" w:hAnsi="Arial" w:cs="Arial"/>
        </w:rPr>
      </w:pPr>
      <w:r>
        <w:rPr>
          <w:rFonts w:ascii="Arial" w:hAnsi="Arial" w:cs="Arial"/>
        </w:rPr>
        <w:t xml:space="preserve">d) Normatividad supletoria. </w:t>
      </w:r>
      <w:r w:rsidRPr="002B7079">
        <w:rPr>
          <w:rFonts w:ascii="Arial" w:hAnsi="Arial" w:cs="Arial"/>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Pr>
          <w:rFonts w:ascii="Arial" w:hAnsi="Arial" w:cs="Arial"/>
        </w:rPr>
        <w:t>.</w:t>
      </w:r>
    </w:p>
    <w:p w14:paraId="2B5AD31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14:paraId="5661A4C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14:paraId="7AFB24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De acuerdo a lo establecido por el CONAC. </w:t>
      </w:r>
    </w:p>
    <w:p w14:paraId="0FADBA0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14:paraId="16C58C36"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14:paraId="33A0B0E9"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14:paraId="36AFA473" w14:textId="77777777" w:rsidR="000E16D5" w:rsidRPr="00E347C4" w:rsidRDefault="000E16D5" w:rsidP="00294C15">
      <w:pPr>
        <w:spacing w:line="276" w:lineRule="auto"/>
        <w:jc w:val="both"/>
        <w:rPr>
          <w:rFonts w:ascii="Arial" w:hAnsi="Arial" w:cs="Arial"/>
        </w:rPr>
      </w:pPr>
      <w:r w:rsidRPr="00E347C4">
        <w:rPr>
          <w:rFonts w:ascii="Arial" w:hAnsi="Arial" w:cs="Arial"/>
        </w:rPr>
        <w:t>Se implementa a partir del ejercicio fiscal 2011 el sistema contable (SAP)</w:t>
      </w:r>
      <w:r w:rsidR="00C74944">
        <w:rPr>
          <w:rFonts w:ascii="Arial" w:hAnsi="Arial" w:cs="Arial"/>
        </w:rPr>
        <w:t>.</w:t>
      </w:r>
      <w:r w:rsidRPr="00E347C4">
        <w:rPr>
          <w:rFonts w:ascii="Arial" w:hAnsi="Arial" w:cs="Arial"/>
        </w:rPr>
        <w:t xml:space="preserve"> </w:t>
      </w:r>
    </w:p>
    <w:p w14:paraId="0B44A66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14:paraId="63B049A1"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lastRenderedPageBreak/>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14:paraId="7D0596A0" w14:textId="77777777" w:rsidR="00CB1BC6" w:rsidRDefault="00CB1BC6" w:rsidP="00294C15">
      <w:pPr>
        <w:spacing w:line="276" w:lineRule="auto"/>
        <w:jc w:val="both"/>
        <w:rPr>
          <w:rFonts w:ascii="Arial" w:hAnsi="Arial" w:cs="Arial"/>
          <w:b/>
        </w:rPr>
      </w:pPr>
    </w:p>
    <w:p w14:paraId="5A7082F7" w14:textId="77777777" w:rsidR="00CB1BC6" w:rsidRDefault="00CB1BC6" w:rsidP="00294C15">
      <w:pPr>
        <w:spacing w:line="276" w:lineRule="auto"/>
        <w:jc w:val="both"/>
        <w:rPr>
          <w:rFonts w:ascii="Arial" w:hAnsi="Arial" w:cs="Arial"/>
          <w:b/>
        </w:rPr>
      </w:pPr>
    </w:p>
    <w:p w14:paraId="295D2DE6"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5. </w:t>
      </w:r>
      <w:r w:rsidR="000E16D5" w:rsidRPr="002B7079">
        <w:rPr>
          <w:rFonts w:ascii="Arial" w:hAnsi="Arial" w:cs="Arial"/>
          <w:b/>
        </w:rPr>
        <w:t>Políticas de Contabilidad Significativ</w:t>
      </w:r>
      <w:r w:rsidRPr="002B7079">
        <w:rPr>
          <w:rFonts w:ascii="Arial" w:hAnsi="Arial" w:cs="Arial"/>
          <w:b/>
        </w:rPr>
        <w:t>as</w:t>
      </w:r>
    </w:p>
    <w:p w14:paraId="76B6A72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14:paraId="58381BEC" w14:textId="77777777" w:rsidR="000E16D5" w:rsidRPr="00E347C4" w:rsidRDefault="000E16D5" w:rsidP="00294C15">
      <w:pPr>
        <w:spacing w:line="276" w:lineRule="auto"/>
        <w:jc w:val="both"/>
        <w:rPr>
          <w:rFonts w:ascii="Arial" w:hAnsi="Arial" w:cs="Arial"/>
        </w:rPr>
      </w:pPr>
      <w:r w:rsidRPr="00E347C4">
        <w:rPr>
          <w:rFonts w:ascii="Arial" w:hAnsi="Arial" w:cs="Arial"/>
        </w:rPr>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14:paraId="7B941DF3" w14:textId="77777777" w:rsidR="000E16D5" w:rsidRPr="00E347C4" w:rsidRDefault="000E16D5" w:rsidP="00294C15">
      <w:pPr>
        <w:spacing w:line="276" w:lineRule="auto"/>
        <w:jc w:val="both"/>
        <w:rPr>
          <w:rFonts w:ascii="Arial" w:hAnsi="Arial" w:cs="Arial"/>
        </w:rPr>
      </w:pPr>
      <w:r w:rsidRPr="00E347C4">
        <w:rPr>
          <w:rFonts w:ascii="Arial" w:hAnsi="Arial" w:cs="Arial"/>
        </w:rPr>
        <w:t>b) Informar sobre la realización de operaciones en el extranjero y de sus efectos en la información financiera gubernamental</w:t>
      </w:r>
      <w:r w:rsidR="00393526" w:rsidRPr="00393526">
        <w:rPr>
          <w:rFonts w:ascii="Arial" w:hAnsi="Arial" w:cs="Arial"/>
        </w:rPr>
        <w:t xml:space="preserve"> </w:t>
      </w:r>
      <w:r w:rsidR="00393526" w:rsidRPr="002B7079">
        <w:rPr>
          <w:rFonts w:ascii="Arial" w:hAnsi="Arial" w:cs="Arial"/>
        </w:rPr>
        <w:t>considerando entre otros el importe de las variaciones cambiarias reconocidas en el resultado (ahorro o desahorro).</w:t>
      </w:r>
      <w:r w:rsidRPr="00E347C4">
        <w:rPr>
          <w:rFonts w:ascii="Arial" w:hAnsi="Arial" w:cs="Arial"/>
        </w:rPr>
        <w:t xml:space="preserve">: </w:t>
      </w:r>
    </w:p>
    <w:p w14:paraId="7C4DDEB9" w14:textId="77777777"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14:paraId="52664B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14:paraId="3964B38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6749007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14:paraId="76A494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2D64B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14:paraId="122431A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14:paraId="1191C304" w14:textId="77777777"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A5387B">
        <w:rPr>
          <w:rFonts w:ascii="Arial" w:hAnsi="Arial" w:cs="Arial"/>
        </w:rPr>
        <w:t>gresos del Ejercicio Fiscal 2024</w:t>
      </w:r>
      <w:r w:rsidR="00C74944">
        <w:rPr>
          <w:rFonts w:ascii="Arial" w:hAnsi="Arial" w:cs="Arial"/>
        </w:rPr>
        <w:t>.</w:t>
      </w:r>
    </w:p>
    <w:p w14:paraId="1FF320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14:paraId="4D3D7890" w14:textId="77777777"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14:paraId="4A4719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14:paraId="24A3B6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37A6108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14:paraId="78D40644" w14:textId="77777777" w:rsidR="000E16D5" w:rsidRPr="00E347C4" w:rsidRDefault="006B0025" w:rsidP="00294C15">
      <w:pPr>
        <w:spacing w:line="276" w:lineRule="auto"/>
        <w:jc w:val="both"/>
        <w:rPr>
          <w:rFonts w:ascii="Arial" w:hAnsi="Arial" w:cs="Arial"/>
        </w:rPr>
      </w:pPr>
      <w:r w:rsidRPr="00E347C4">
        <w:rPr>
          <w:rFonts w:ascii="Arial" w:hAnsi="Arial" w:cs="Arial"/>
        </w:rPr>
        <w:lastRenderedPageBreak/>
        <w:t>Los cambios serán aplicados co</w:t>
      </w:r>
      <w:r w:rsidR="000E16D5" w:rsidRPr="00E347C4">
        <w:rPr>
          <w:rFonts w:ascii="Arial" w:hAnsi="Arial" w:cs="Arial"/>
        </w:rPr>
        <w:t xml:space="preserve">n base a lo establecido por el CONAC, conforme a sus documentos técnico- contables y periodos establecidos. </w:t>
      </w:r>
    </w:p>
    <w:p w14:paraId="790163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14:paraId="4566333C" w14:textId="77777777" w:rsidR="00CB1BC6" w:rsidRDefault="00CB1BC6" w:rsidP="00294C15">
      <w:pPr>
        <w:spacing w:line="276" w:lineRule="auto"/>
        <w:jc w:val="both"/>
        <w:rPr>
          <w:rFonts w:ascii="Arial" w:hAnsi="Arial" w:cs="Arial"/>
        </w:rPr>
      </w:pPr>
    </w:p>
    <w:p w14:paraId="7CC8598A" w14:textId="77777777" w:rsidR="00CB1BC6" w:rsidRDefault="00CB1BC6" w:rsidP="00294C15">
      <w:pPr>
        <w:spacing w:line="276" w:lineRule="auto"/>
        <w:jc w:val="both"/>
        <w:rPr>
          <w:rFonts w:ascii="Arial" w:hAnsi="Arial" w:cs="Arial"/>
        </w:rPr>
      </w:pPr>
    </w:p>
    <w:p w14:paraId="2D1FEDAF" w14:textId="77777777"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14:paraId="3CEE117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14:paraId="141FDEBD" w14:textId="77777777" w:rsidR="00393526"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14:paraId="25B0C577" w14:textId="77777777" w:rsidR="000E16D5" w:rsidRPr="00E347C4" w:rsidRDefault="00393526" w:rsidP="00294C15">
      <w:pPr>
        <w:spacing w:line="276" w:lineRule="auto"/>
        <w:jc w:val="both"/>
        <w:rPr>
          <w:rFonts w:ascii="Arial" w:hAnsi="Arial" w:cs="Arial"/>
        </w:rPr>
      </w:pPr>
      <w:r w:rsidRPr="00393526">
        <w:rPr>
          <w:rFonts w:ascii="Arial" w:hAnsi="Arial" w:cs="Arial"/>
          <w:b/>
        </w:rPr>
        <w:t xml:space="preserve">6. </w:t>
      </w:r>
      <w:r w:rsidR="000E16D5" w:rsidRPr="00393526">
        <w:rPr>
          <w:rFonts w:ascii="Arial" w:hAnsi="Arial" w:cs="Arial"/>
          <w:b/>
        </w:rPr>
        <w:t>Posición en Moneda Extranjera y Protección por Riesgo Cambiario</w:t>
      </w:r>
      <w:r w:rsidR="000E16D5" w:rsidRPr="00E347C4">
        <w:rPr>
          <w:rFonts w:ascii="Arial" w:hAnsi="Arial" w:cs="Arial"/>
        </w:rPr>
        <w:t xml:space="preserve"> </w:t>
      </w:r>
    </w:p>
    <w:p w14:paraId="099420A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14:paraId="12B65A6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8B6D4D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14:paraId="190F46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A235BD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14:paraId="3987DBB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2C05D32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14:paraId="7683464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52CF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4978E54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14:paraId="3DFF9A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11DD8AD5" w14:textId="77777777" w:rsidR="000E16D5" w:rsidRPr="00393526" w:rsidRDefault="00393526" w:rsidP="00294C15">
      <w:pPr>
        <w:spacing w:line="276" w:lineRule="auto"/>
        <w:jc w:val="both"/>
        <w:rPr>
          <w:rFonts w:ascii="Arial" w:hAnsi="Arial" w:cs="Arial"/>
          <w:b/>
        </w:rPr>
      </w:pPr>
      <w:r w:rsidRPr="00393526">
        <w:rPr>
          <w:rFonts w:ascii="Arial" w:hAnsi="Arial" w:cs="Arial"/>
          <w:b/>
        </w:rPr>
        <w:t>7</w:t>
      </w:r>
      <w:r>
        <w:rPr>
          <w:rFonts w:ascii="Arial" w:hAnsi="Arial" w:cs="Arial"/>
          <w:b/>
        </w:rPr>
        <w:t>. Reporte Analítico del Activo</w:t>
      </w:r>
      <w:r w:rsidR="000E16D5" w:rsidRPr="00393526">
        <w:rPr>
          <w:rFonts w:ascii="Arial" w:hAnsi="Arial" w:cs="Arial"/>
          <w:b/>
        </w:rPr>
        <w:t xml:space="preserve"> </w:t>
      </w:r>
    </w:p>
    <w:p w14:paraId="7B23D8C1" w14:textId="77777777" w:rsidR="00393526" w:rsidRDefault="000E16D5" w:rsidP="00393526">
      <w:pPr>
        <w:spacing w:line="276" w:lineRule="auto"/>
        <w:jc w:val="both"/>
        <w:rPr>
          <w:rFonts w:ascii="Arial" w:hAnsi="Arial" w:cs="Arial"/>
        </w:rPr>
      </w:pPr>
      <w:r w:rsidRPr="00E347C4">
        <w:rPr>
          <w:rFonts w:ascii="Arial" w:hAnsi="Arial" w:cs="Arial"/>
        </w:rPr>
        <w:t>a) Vida útil o porcentajes de depreciación</w:t>
      </w:r>
      <w:r w:rsidR="00393526">
        <w:rPr>
          <w:rFonts w:ascii="Arial" w:hAnsi="Arial" w:cs="Arial"/>
        </w:rPr>
        <w:t xml:space="preserve"> </w:t>
      </w:r>
      <w:r w:rsidR="00393526" w:rsidRPr="00393526">
        <w:rPr>
          <w:rFonts w:ascii="Arial" w:hAnsi="Arial" w:cs="Arial"/>
        </w:rPr>
        <w:t>y amortización utilizados en los diferentes tipos de activos, o el importe de las pérdidas por deterioro reconocidas.</w:t>
      </w:r>
    </w:p>
    <w:p w14:paraId="293F59FA" w14:textId="77777777" w:rsidR="00393526" w:rsidRPr="00393526" w:rsidRDefault="00393526" w:rsidP="00393526">
      <w:pPr>
        <w:tabs>
          <w:tab w:val="left" w:leader="underscore" w:pos="9639"/>
        </w:tabs>
        <w:spacing w:after="0"/>
        <w:jc w:val="both"/>
        <w:rPr>
          <w:rFonts w:ascii="Arial" w:hAnsi="Arial" w:cs="Arial"/>
        </w:rPr>
      </w:pPr>
      <w:r w:rsidRPr="00393526">
        <w:rPr>
          <w:rFonts w:ascii="Arial" w:hAnsi="Arial" w:cs="Arial"/>
        </w:rPr>
        <w:t>Se realizará depreciación anual en línea al cierre del ejercicio fiscal en curso.</w:t>
      </w:r>
    </w:p>
    <w:p w14:paraId="7E6B9B04" w14:textId="77777777" w:rsidR="00393526" w:rsidRPr="00393526" w:rsidRDefault="00393526" w:rsidP="00393526">
      <w:pPr>
        <w:tabs>
          <w:tab w:val="left" w:leader="underscore" w:pos="9639"/>
        </w:tabs>
        <w:spacing w:after="0"/>
        <w:jc w:val="both"/>
        <w:rPr>
          <w:rFonts w:ascii="Arial" w:hAnsi="Arial" w:cs="Arial"/>
          <w:sz w:val="24"/>
          <w:szCs w:val="24"/>
        </w:rPr>
      </w:pPr>
    </w:p>
    <w:p w14:paraId="0126E86F" w14:textId="77777777" w:rsidR="000E16D5" w:rsidRDefault="000E16D5" w:rsidP="00294C15">
      <w:pPr>
        <w:spacing w:line="276" w:lineRule="auto"/>
        <w:jc w:val="both"/>
        <w:rPr>
          <w:rFonts w:ascii="Arial" w:hAnsi="Arial" w:cs="Arial"/>
        </w:rPr>
      </w:pPr>
      <w:r w:rsidRPr="00E347C4">
        <w:rPr>
          <w:rFonts w:ascii="Arial" w:hAnsi="Arial" w:cs="Arial"/>
        </w:rPr>
        <w:t xml:space="preserve">b) </w:t>
      </w:r>
      <w:r w:rsidR="00393526" w:rsidRPr="00393526">
        <w:rPr>
          <w:rFonts w:ascii="Arial" w:hAnsi="Arial" w:cs="Arial"/>
        </w:rPr>
        <w:t>Cambios en el porcentaje de depreciación y amortización y en el valor de los activos ocasionado por deterioro.</w:t>
      </w:r>
    </w:p>
    <w:p w14:paraId="4CAFA717" w14:textId="77777777" w:rsidR="00393526" w:rsidRPr="00E347C4" w:rsidRDefault="00393526" w:rsidP="00294C15">
      <w:pPr>
        <w:spacing w:line="276" w:lineRule="auto"/>
        <w:jc w:val="both"/>
        <w:rPr>
          <w:rFonts w:ascii="Arial" w:hAnsi="Arial" w:cs="Arial"/>
        </w:rPr>
      </w:pPr>
      <w:r>
        <w:rPr>
          <w:rFonts w:ascii="Arial" w:hAnsi="Arial" w:cs="Arial"/>
        </w:rPr>
        <w:lastRenderedPageBreak/>
        <w:t>No se tienen cambios.</w:t>
      </w:r>
    </w:p>
    <w:p w14:paraId="09AA031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Importe de los gastos capitalizados en el ejercicio, tanto financieros como de investigación y desarrollo: </w:t>
      </w:r>
    </w:p>
    <w:p w14:paraId="5A4621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F891DF6" w14:textId="77777777" w:rsidR="00CB1BC6" w:rsidRDefault="00CB1BC6" w:rsidP="00294C15">
      <w:pPr>
        <w:spacing w:line="276" w:lineRule="auto"/>
        <w:jc w:val="both"/>
        <w:rPr>
          <w:rFonts w:ascii="Arial" w:hAnsi="Arial" w:cs="Arial"/>
        </w:rPr>
      </w:pPr>
    </w:p>
    <w:p w14:paraId="5A4F3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14:paraId="2C4DEF3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4DECBE0"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14:paraId="324021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14:paraId="614D20E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66F47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C910EB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14:paraId="73EFA10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B0296F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14:paraId="3D66456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tiene control sobre el buen uso y mantenimiento de los bienes propiedad del municipio </w:t>
      </w:r>
    </w:p>
    <w:p w14:paraId="1780E7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14:paraId="4750CCD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14:paraId="01D059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14:paraId="3103C9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14:paraId="795C96D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01482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14:paraId="5DEA45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76D39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14:paraId="0CA05C5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04363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14:paraId="5FA10BC3" w14:textId="77777777" w:rsidR="000E16D5" w:rsidRPr="00393526" w:rsidRDefault="00393526" w:rsidP="00294C15">
      <w:pPr>
        <w:spacing w:line="276" w:lineRule="auto"/>
        <w:jc w:val="both"/>
        <w:rPr>
          <w:rFonts w:ascii="Arial" w:hAnsi="Arial" w:cs="Arial"/>
          <w:b/>
        </w:rPr>
      </w:pPr>
      <w:r w:rsidRPr="00393526">
        <w:rPr>
          <w:rFonts w:ascii="Arial" w:hAnsi="Arial" w:cs="Arial"/>
          <w:b/>
        </w:rPr>
        <w:lastRenderedPageBreak/>
        <w:t xml:space="preserve">8. </w:t>
      </w:r>
      <w:r w:rsidR="000E16D5" w:rsidRPr="00393526">
        <w:rPr>
          <w:rFonts w:ascii="Arial" w:hAnsi="Arial" w:cs="Arial"/>
          <w:b/>
        </w:rPr>
        <w:t>Fid</w:t>
      </w:r>
      <w:r>
        <w:rPr>
          <w:rFonts w:ascii="Arial" w:hAnsi="Arial" w:cs="Arial"/>
          <w:b/>
        </w:rPr>
        <w:t>eicomisos, Mandatos y Análogos</w:t>
      </w:r>
      <w:r>
        <w:rPr>
          <w:rFonts w:ascii="Arial" w:hAnsi="Arial" w:cs="Arial"/>
          <w:b/>
        </w:rPr>
        <w:tab/>
      </w:r>
    </w:p>
    <w:p w14:paraId="404D16C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Por ramo administrativo que los reporta: </w:t>
      </w:r>
    </w:p>
    <w:p w14:paraId="686F8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9EB050F" w14:textId="77777777" w:rsidR="00CB1BC6" w:rsidRDefault="00CB1BC6" w:rsidP="00294C15">
      <w:pPr>
        <w:spacing w:line="276" w:lineRule="auto"/>
        <w:jc w:val="both"/>
        <w:rPr>
          <w:rFonts w:ascii="Arial" w:hAnsi="Arial" w:cs="Arial"/>
        </w:rPr>
      </w:pPr>
    </w:p>
    <w:p w14:paraId="682DD1C9" w14:textId="77777777" w:rsidR="00CB1BC6" w:rsidRDefault="00CB1BC6" w:rsidP="00294C15">
      <w:pPr>
        <w:spacing w:line="276" w:lineRule="auto"/>
        <w:jc w:val="both"/>
        <w:rPr>
          <w:rFonts w:ascii="Arial" w:hAnsi="Arial" w:cs="Arial"/>
        </w:rPr>
      </w:pPr>
    </w:p>
    <w:p w14:paraId="40D5F4D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14:paraId="6B1EE0BA"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AA02CBE"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9. </w:t>
      </w:r>
      <w:r>
        <w:rPr>
          <w:rFonts w:ascii="Arial" w:hAnsi="Arial" w:cs="Arial"/>
          <w:b/>
        </w:rPr>
        <w:t>Reporte de la Recaudación</w:t>
      </w:r>
    </w:p>
    <w:p w14:paraId="0DE1418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14:paraId="159B9CFB" w14:textId="77777777" w:rsidR="000E16D5" w:rsidRPr="00E347C4" w:rsidRDefault="000E16D5" w:rsidP="00294C15">
      <w:pPr>
        <w:spacing w:line="276" w:lineRule="auto"/>
        <w:jc w:val="both"/>
        <w:rPr>
          <w:rFonts w:ascii="Arial" w:hAnsi="Arial" w:cs="Arial"/>
        </w:rPr>
      </w:pPr>
      <w:r w:rsidRPr="00E347C4">
        <w:rPr>
          <w:rFonts w:ascii="Arial" w:hAnsi="Arial" w:cs="Arial"/>
        </w:rPr>
        <w:t>Su comportamiento se aprecia en las notas de desglose</w:t>
      </w:r>
      <w:r w:rsidR="00CB1BC6">
        <w:rPr>
          <w:rFonts w:ascii="Arial" w:hAnsi="Arial" w:cs="Arial"/>
        </w:rPr>
        <w:t>.</w:t>
      </w:r>
      <w:r w:rsidRPr="00E347C4">
        <w:rPr>
          <w:rFonts w:ascii="Arial" w:hAnsi="Arial" w:cs="Arial"/>
        </w:rPr>
        <w:t xml:space="preserve"> </w:t>
      </w:r>
    </w:p>
    <w:p w14:paraId="0DE200D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Proyección de la recaudación e ingresos en el mediano plazo: </w:t>
      </w:r>
    </w:p>
    <w:p w14:paraId="3247A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14:paraId="024ADC72"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10. </w:t>
      </w:r>
      <w:r w:rsidR="000E16D5" w:rsidRPr="00393526">
        <w:rPr>
          <w:rFonts w:ascii="Arial" w:hAnsi="Arial" w:cs="Arial"/>
          <w:b/>
        </w:rPr>
        <w:t>Información sobre la Deuda y el</w:t>
      </w:r>
      <w:r>
        <w:rPr>
          <w:rFonts w:ascii="Arial" w:hAnsi="Arial" w:cs="Arial"/>
          <w:b/>
        </w:rPr>
        <w:t xml:space="preserve"> Reporte Analítico de la Deuda</w:t>
      </w:r>
    </w:p>
    <w:p w14:paraId="0CF7BE42" w14:textId="77777777" w:rsidR="000E16D5"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14:paraId="174AB057" w14:textId="77777777" w:rsidR="00393526" w:rsidRPr="00393526" w:rsidRDefault="00393526" w:rsidP="00393526">
      <w:pPr>
        <w:spacing w:after="0"/>
        <w:jc w:val="both"/>
        <w:rPr>
          <w:rFonts w:ascii="Arial" w:hAnsi="Arial" w:cs="Arial"/>
        </w:rPr>
      </w:pPr>
      <w:r w:rsidRPr="00393526">
        <w:rPr>
          <w:rFonts w:ascii="Arial" w:hAnsi="Arial" w:cs="Arial"/>
        </w:rPr>
        <w:t>Nada que manifestar.</w:t>
      </w:r>
    </w:p>
    <w:p w14:paraId="275BB338" w14:textId="77777777" w:rsidR="00393526" w:rsidRDefault="00393526" w:rsidP="00294C15">
      <w:pPr>
        <w:spacing w:line="276" w:lineRule="auto"/>
        <w:jc w:val="both"/>
        <w:rPr>
          <w:rFonts w:ascii="Arial" w:hAnsi="Arial" w:cs="Arial"/>
        </w:rPr>
      </w:pPr>
    </w:p>
    <w:p w14:paraId="03F729B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14:paraId="3C086D25" w14:textId="77777777" w:rsidR="000E16D5" w:rsidRPr="00E347C4" w:rsidRDefault="004F2F1A" w:rsidP="00294C15">
      <w:pPr>
        <w:spacing w:line="276" w:lineRule="auto"/>
        <w:jc w:val="both"/>
        <w:rPr>
          <w:rFonts w:ascii="Arial" w:hAnsi="Arial" w:cs="Arial"/>
        </w:rPr>
      </w:pPr>
      <w:r>
        <w:rPr>
          <w:rFonts w:ascii="Arial" w:hAnsi="Arial" w:cs="Arial"/>
        </w:rPr>
        <w:t>-</w:t>
      </w:r>
      <w:r w:rsidR="000E16D5" w:rsidRPr="00E347C4">
        <w:rPr>
          <w:rFonts w:ascii="Arial" w:hAnsi="Arial" w:cs="Arial"/>
        </w:rPr>
        <w:t xml:space="preserve"> Se </w:t>
      </w:r>
      <w:r w:rsidR="00294C15" w:rsidRPr="00E347C4">
        <w:rPr>
          <w:rFonts w:ascii="Arial" w:hAnsi="Arial" w:cs="Arial"/>
        </w:rPr>
        <w:t>anexará</w:t>
      </w:r>
      <w:r w:rsidR="000E16D5" w:rsidRPr="00E347C4">
        <w:rPr>
          <w:rFonts w:ascii="Arial" w:hAnsi="Arial" w:cs="Arial"/>
        </w:rPr>
        <w:t xml:space="preserve"> la información en las notas de desglose. </w:t>
      </w:r>
    </w:p>
    <w:p w14:paraId="2A4FF8DA"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11. </w:t>
      </w:r>
      <w:r>
        <w:rPr>
          <w:rFonts w:ascii="Arial" w:hAnsi="Arial" w:cs="Arial"/>
          <w:b/>
        </w:rPr>
        <w:t>Calificaciones otorgadas</w:t>
      </w:r>
    </w:p>
    <w:p w14:paraId="590A7B3E" w14:textId="77777777" w:rsidR="000E16D5" w:rsidRPr="004F2F1A"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w:t>
      </w:r>
      <w:r w:rsidRPr="004F2F1A">
        <w:rPr>
          <w:rFonts w:ascii="Arial" w:hAnsi="Arial" w:cs="Arial"/>
        </w:rPr>
        <w:t xml:space="preserve">una calificación crediticia: </w:t>
      </w:r>
    </w:p>
    <w:p w14:paraId="0226CE45" w14:textId="77777777" w:rsidR="000E16D5" w:rsidRPr="00E347C4" w:rsidRDefault="009F3242" w:rsidP="00294C15">
      <w:pPr>
        <w:spacing w:line="276" w:lineRule="auto"/>
        <w:jc w:val="both"/>
        <w:rPr>
          <w:rFonts w:ascii="Arial" w:hAnsi="Arial" w:cs="Arial"/>
        </w:rPr>
      </w:pPr>
      <w:r>
        <w:rPr>
          <w:rFonts w:ascii="Arial" w:hAnsi="Arial" w:cs="Arial"/>
        </w:rPr>
        <w:t>Se encuentra en proceso la solicitud de un</w:t>
      </w:r>
      <w:r w:rsidR="000E16D5" w:rsidRPr="004F2F1A">
        <w:rPr>
          <w:rFonts w:ascii="Arial" w:hAnsi="Arial" w:cs="Arial"/>
        </w:rPr>
        <w:t xml:space="preserve"> crédito.</w:t>
      </w:r>
      <w:r w:rsidR="000E16D5" w:rsidRPr="00E347C4">
        <w:rPr>
          <w:rFonts w:ascii="Arial" w:hAnsi="Arial" w:cs="Arial"/>
        </w:rPr>
        <w:t xml:space="preserve"> </w:t>
      </w:r>
    </w:p>
    <w:p w14:paraId="25C3F141" w14:textId="77777777" w:rsidR="000E16D5" w:rsidRPr="00E347C4" w:rsidRDefault="00393526" w:rsidP="00294C15">
      <w:pPr>
        <w:spacing w:line="276" w:lineRule="auto"/>
        <w:jc w:val="both"/>
        <w:rPr>
          <w:rFonts w:ascii="Arial" w:hAnsi="Arial" w:cs="Arial"/>
        </w:rPr>
      </w:pPr>
      <w:r>
        <w:rPr>
          <w:rFonts w:ascii="Arial" w:hAnsi="Arial" w:cs="Arial"/>
          <w:b/>
        </w:rPr>
        <w:t xml:space="preserve">12. </w:t>
      </w:r>
      <w:r w:rsidR="000E16D5" w:rsidRPr="00393526">
        <w:rPr>
          <w:rFonts w:ascii="Arial" w:hAnsi="Arial" w:cs="Arial"/>
          <w:b/>
        </w:rPr>
        <w:t>Proceso de Mejora</w:t>
      </w:r>
      <w:r w:rsidR="000E16D5" w:rsidRPr="00E347C4">
        <w:rPr>
          <w:rFonts w:ascii="Arial" w:hAnsi="Arial" w:cs="Arial"/>
        </w:rPr>
        <w:t xml:space="preserve"> </w:t>
      </w:r>
    </w:p>
    <w:p w14:paraId="690B09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14:paraId="6771CDA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14:paraId="13EA8BD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14:paraId="280324E6"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b) Medidas de desempeño financiero, metas y alcance: </w:t>
      </w:r>
    </w:p>
    <w:p w14:paraId="1BAB601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14:paraId="18918E8C"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13. </w:t>
      </w:r>
      <w:r>
        <w:rPr>
          <w:rFonts w:ascii="Arial" w:hAnsi="Arial" w:cs="Arial"/>
          <w:b/>
        </w:rPr>
        <w:t>Información por Segmentos</w:t>
      </w:r>
      <w:r w:rsidR="000E16D5" w:rsidRPr="00393526">
        <w:rPr>
          <w:rFonts w:ascii="Arial" w:hAnsi="Arial" w:cs="Arial"/>
          <w:b/>
        </w:rPr>
        <w:t xml:space="preserve"> </w:t>
      </w:r>
    </w:p>
    <w:p w14:paraId="23165BF1" w14:textId="77777777" w:rsidR="00CB1BC6" w:rsidRDefault="00CB1BC6" w:rsidP="00294C15">
      <w:pPr>
        <w:spacing w:line="276" w:lineRule="auto"/>
        <w:jc w:val="both"/>
        <w:rPr>
          <w:rFonts w:ascii="Arial" w:hAnsi="Arial" w:cs="Arial"/>
        </w:rPr>
      </w:pPr>
    </w:p>
    <w:p w14:paraId="2BD1E02E" w14:textId="77777777" w:rsidR="00CB1BC6" w:rsidRDefault="00CB1BC6" w:rsidP="00294C15">
      <w:pPr>
        <w:spacing w:line="276" w:lineRule="auto"/>
        <w:jc w:val="both"/>
        <w:rPr>
          <w:rFonts w:ascii="Arial" w:hAnsi="Arial" w:cs="Arial"/>
        </w:rPr>
      </w:pPr>
    </w:p>
    <w:p w14:paraId="2D91F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54C8712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14:paraId="28A9B425"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14. </w:t>
      </w:r>
      <w:r>
        <w:rPr>
          <w:rFonts w:ascii="Arial" w:hAnsi="Arial" w:cs="Arial"/>
          <w:b/>
        </w:rPr>
        <w:t>Eventos Posteriores al Cierre</w:t>
      </w:r>
      <w:r w:rsidR="000E16D5" w:rsidRPr="00393526">
        <w:rPr>
          <w:rFonts w:ascii="Arial" w:hAnsi="Arial" w:cs="Arial"/>
          <w:b/>
        </w:rPr>
        <w:t xml:space="preserve"> </w:t>
      </w:r>
    </w:p>
    <w:p w14:paraId="1170B427" w14:textId="77777777" w:rsidR="000E16D5" w:rsidRDefault="000E16D5" w:rsidP="00294C15">
      <w:pPr>
        <w:spacing w:line="276" w:lineRule="auto"/>
        <w:jc w:val="both"/>
        <w:rPr>
          <w:rFonts w:ascii="Arial" w:hAnsi="Arial" w:cs="Arial"/>
        </w:rPr>
      </w:pPr>
      <w:r w:rsidRPr="00E347C4">
        <w:rPr>
          <w:rFonts w:ascii="Arial" w:hAnsi="Arial" w:cs="Arial"/>
        </w:rPr>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14:paraId="2BBC054D" w14:textId="77777777" w:rsidR="0064467A" w:rsidRDefault="0064467A" w:rsidP="00294C15">
      <w:pPr>
        <w:spacing w:line="276" w:lineRule="auto"/>
        <w:jc w:val="both"/>
        <w:rPr>
          <w:rFonts w:ascii="Arial" w:hAnsi="Arial" w:cs="Arial"/>
        </w:rPr>
      </w:pPr>
      <w:r>
        <w:rPr>
          <w:rFonts w:ascii="Arial" w:hAnsi="Arial" w:cs="Arial"/>
        </w:rPr>
        <w:t>En el segundo trimestre del ejercicio actual 2024, se identificaron inconsistencias en los archivos de notas de memoria en las cuentas de orden, las cuales ya fueron capturadas y modificadas de forma correcta para este tercer trimestre del año en curso.</w:t>
      </w:r>
    </w:p>
    <w:p w14:paraId="6724193C" w14:textId="77777777" w:rsidR="0064467A" w:rsidRPr="00E347C4" w:rsidRDefault="0064467A" w:rsidP="00294C15">
      <w:pPr>
        <w:spacing w:line="276" w:lineRule="auto"/>
        <w:jc w:val="both"/>
        <w:rPr>
          <w:rFonts w:ascii="Arial" w:hAnsi="Arial" w:cs="Arial"/>
        </w:rPr>
      </w:pPr>
      <w:r>
        <w:rPr>
          <w:rFonts w:ascii="Arial" w:hAnsi="Arial" w:cs="Arial"/>
        </w:rPr>
        <w:t>Asimismo, es indispensable hacer mención y de conocimiento que l</w:t>
      </w:r>
      <w:r w:rsidRPr="0064467A">
        <w:rPr>
          <w:rFonts w:ascii="Arial" w:hAnsi="Arial" w:cs="Arial"/>
        </w:rPr>
        <w:t xml:space="preserve">a diferencia entre el Presupuesto Modificado de Ingresos respecto al </w:t>
      </w:r>
      <w:r>
        <w:rPr>
          <w:rFonts w:ascii="Arial" w:hAnsi="Arial" w:cs="Arial"/>
        </w:rPr>
        <w:t xml:space="preserve">Presupuesto Modificado </w:t>
      </w:r>
      <w:r w:rsidRPr="0064467A">
        <w:rPr>
          <w:rFonts w:ascii="Arial" w:hAnsi="Arial" w:cs="Arial"/>
        </w:rPr>
        <w:t>de Egresos, se debe a la aplicación de Disponibilidades de Ejercicios Anteriores autorizadas en la primera modificación 2024.</w:t>
      </w:r>
      <w:r>
        <w:rPr>
          <w:rFonts w:ascii="Arial" w:hAnsi="Arial" w:cs="Arial"/>
        </w:rPr>
        <w:t xml:space="preserve"> </w:t>
      </w:r>
    </w:p>
    <w:p w14:paraId="6EE910D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15. </w:t>
      </w:r>
      <w:r>
        <w:rPr>
          <w:rFonts w:ascii="Arial" w:hAnsi="Arial" w:cs="Arial"/>
          <w:b/>
        </w:rPr>
        <w:t>Partes Relacionadas</w:t>
      </w:r>
    </w:p>
    <w:p w14:paraId="7E375C6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r w:rsidR="00393526" w:rsidRPr="00E7248A">
        <w:rPr>
          <w:rFonts w:ascii="Arial" w:hAnsi="Arial" w:cs="Arial"/>
        </w:rPr>
        <w:t>que pudieran ejercer influencia significativa sobre la toma de decisiones financieras y operativas.</w:t>
      </w:r>
    </w:p>
    <w:p w14:paraId="2CE1791F" w14:textId="77777777" w:rsidR="000E16D5" w:rsidRPr="00E7248A" w:rsidRDefault="00E7248A" w:rsidP="00294C15">
      <w:pPr>
        <w:spacing w:line="276" w:lineRule="auto"/>
        <w:jc w:val="both"/>
        <w:rPr>
          <w:rFonts w:ascii="Arial" w:hAnsi="Arial" w:cs="Arial"/>
          <w:b/>
        </w:rPr>
      </w:pPr>
      <w:r w:rsidRPr="00E7248A">
        <w:rPr>
          <w:rFonts w:ascii="Arial" w:hAnsi="Arial" w:cs="Arial"/>
          <w:b/>
        </w:rPr>
        <w:t xml:space="preserve">16. </w:t>
      </w:r>
      <w:r w:rsidR="000E16D5" w:rsidRPr="00E7248A">
        <w:rPr>
          <w:rFonts w:ascii="Arial" w:hAnsi="Arial" w:cs="Arial"/>
          <w:b/>
        </w:rPr>
        <w:t>Responsabilidad sobre la presentación razon</w:t>
      </w:r>
      <w:r>
        <w:rPr>
          <w:rFonts w:ascii="Arial" w:hAnsi="Arial" w:cs="Arial"/>
          <w:b/>
        </w:rPr>
        <w:t>able de la Información Contable</w:t>
      </w:r>
      <w:r w:rsidR="000E16D5" w:rsidRPr="00E7248A">
        <w:rPr>
          <w:rFonts w:ascii="Arial" w:hAnsi="Arial" w:cs="Arial"/>
          <w:b/>
        </w:rPr>
        <w:t xml:space="preserve"> </w:t>
      </w:r>
    </w:p>
    <w:p w14:paraId="332716AB" w14:textId="63EBC920" w:rsidR="009561BC" w:rsidRDefault="00E7248A" w:rsidP="00E7248A">
      <w:pPr>
        <w:spacing w:line="276" w:lineRule="auto"/>
        <w:jc w:val="both"/>
        <w:rPr>
          <w:rFonts w:ascii="Arial" w:hAnsi="Arial" w:cs="Arial"/>
        </w:rPr>
      </w:pPr>
      <w:r w:rsidRPr="00E7248A">
        <w:rPr>
          <w:rFonts w:ascii="Arial" w:hAnsi="Arial" w:cs="Arial"/>
        </w:rPr>
        <w:t xml:space="preserve">La Información Contable deberá estar firmada en cada página de </w:t>
      </w:r>
      <w:proofErr w:type="gramStart"/>
      <w:r w:rsidRPr="00E7248A">
        <w:rPr>
          <w:rFonts w:ascii="Arial" w:hAnsi="Arial" w:cs="Arial"/>
        </w:rPr>
        <w:t>la misma</w:t>
      </w:r>
      <w:proofErr w:type="gramEnd"/>
      <w:r w:rsidRPr="00E7248A">
        <w:rPr>
          <w:rFonts w:ascii="Arial" w:hAnsi="Arial" w:cs="Arial"/>
        </w:rPr>
        <w:t xml:space="preserve"> e incluir al final la siguiente leyenda: “Bajo protesta de decir verdad declaramos que los Estados Financieros y sus notas, son razonablemente correctos y son responsabilidad del emisor”. </w:t>
      </w:r>
    </w:p>
    <w:p w14:paraId="1CD39B25" w14:textId="1EF6775B" w:rsidR="009561BC" w:rsidRPr="00E347C4" w:rsidRDefault="009561BC" w:rsidP="00E7248A">
      <w:pPr>
        <w:spacing w:line="276" w:lineRule="auto"/>
        <w:jc w:val="both"/>
        <w:rPr>
          <w:rFonts w:ascii="Arial" w:hAnsi="Arial" w:cs="Arial"/>
        </w:rPr>
      </w:pPr>
      <w:r w:rsidRPr="009561BC">
        <w:rPr>
          <w:rFonts w:ascii="Arial" w:hAnsi="Arial" w:cs="Arial"/>
        </w:rPr>
        <w:drawing>
          <wp:inline distT="0" distB="0" distL="0" distR="0" wp14:anchorId="704D93DB" wp14:editId="6B2E226E">
            <wp:extent cx="5425910" cy="609653"/>
            <wp:effectExtent l="0" t="0" r="3810" b="0"/>
            <wp:docPr id="1253531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31226" name=""/>
                    <pic:cNvPicPr/>
                  </pic:nvPicPr>
                  <pic:blipFill>
                    <a:blip r:embed="rId5"/>
                    <a:stretch>
                      <a:fillRect/>
                    </a:stretch>
                  </pic:blipFill>
                  <pic:spPr>
                    <a:xfrm>
                      <a:off x="0" y="0"/>
                      <a:ext cx="5425910" cy="609653"/>
                    </a:xfrm>
                    <a:prstGeom prst="rect">
                      <a:avLst/>
                    </a:prstGeom>
                  </pic:spPr>
                </pic:pic>
              </a:graphicData>
            </a:graphic>
          </wp:inline>
        </w:drawing>
      </w:r>
    </w:p>
    <w:sectPr w:rsidR="009561BC"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5"/>
    <w:rsid w:val="00081CB5"/>
    <w:rsid w:val="000D5279"/>
    <w:rsid w:val="000E16D5"/>
    <w:rsid w:val="00185710"/>
    <w:rsid w:val="001965A7"/>
    <w:rsid w:val="001B3597"/>
    <w:rsid w:val="001D6D2B"/>
    <w:rsid w:val="00231940"/>
    <w:rsid w:val="00294C15"/>
    <w:rsid w:val="002B7079"/>
    <w:rsid w:val="002C172E"/>
    <w:rsid w:val="00320FC0"/>
    <w:rsid w:val="003717AD"/>
    <w:rsid w:val="00390F08"/>
    <w:rsid w:val="00393526"/>
    <w:rsid w:val="003961FB"/>
    <w:rsid w:val="00397F0C"/>
    <w:rsid w:val="004E5D6F"/>
    <w:rsid w:val="004F2F1A"/>
    <w:rsid w:val="00502982"/>
    <w:rsid w:val="00556C3D"/>
    <w:rsid w:val="00590E81"/>
    <w:rsid w:val="00593A91"/>
    <w:rsid w:val="005C0434"/>
    <w:rsid w:val="005C2F48"/>
    <w:rsid w:val="005D1284"/>
    <w:rsid w:val="0060026E"/>
    <w:rsid w:val="0063073B"/>
    <w:rsid w:val="0064467A"/>
    <w:rsid w:val="00685118"/>
    <w:rsid w:val="00695918"/>
    <w:rsid w:val="006A5940"/>
    <w:rsid w:val="006B0025"/>
    <w:rsid w:val="006D7669"/>
    <w:rsid w:val="00712ECC"/>
    <w:rsid w:val="0071576A"/>
    <w:rsid w:val="007678B0"/>
    <w:rsid w:val="007D19ED"/>
    <w:rsid w:val="007F1AA9"/>
    <w:rsid w:val="00827D63"/>
    <w:rsid w:val="009561BC"/>
    <w:rsid w:val="00972732"/>
    <w:rsid w:val="00986333"/>
    <w:rsid w:val="009A279F"/>
    <w:rsid w:val="009F3242"/>
    <w:rsid w:val="00A003B5"/>
    <w:rsid w:val="00A5387B"/>
    <w:rsid w:val="00AA65D1"/>
    <w:rsid w:val="00AE74BC"/>
    <w:rsid w:val="00AF4F70"/>
    <w:rsid w:val="00B21518"/>
    <w:rsid w:val="00B36359"/>
    <w:rsid w:val="00BA1E8A"/>
    <w:rsid w:val="00BE56E4"/>
    <w:rsid w:val="00BE7B01"/>
    <w:rsid w:val="00C4573F"/>
    <w:rsid w:val="00C64D8C"/>
    <w:rsid w:val="00C74944"/>
    <w:rsid w:val="00CB1BC6"/>
    <w:rsid w:val="00D40812"/>
    <w:rsid w:val="00E1785A"/>
    <w:rsid w:val="00E347C4"/>
    <w:rsid w:val="00E7248A"/>
    <w:rsid w:val="00EC39A9"/>
    <w:rsid w:val="00EF23AE"/>
    <w:rsid w:val="00F338D5"/>
    <w:rsid w:val="00F52A9E"/>
    <w:rsid w:val="00FC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E8F"/>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1970</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Compu 1</cp:lastModifiedBy>
  <cp:revision>67</cp:revision>
  <dcterms:created xsi:type="dcterms:W3CDTF">2019-04-26T17:20:00Z</dcterms:created>
  <dcterms:modified xsi:type="dcterms:W3CDTF">2025-02-05T21:43:00Z</dcterms:modified>
</cp:coreProperties>
</file>